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94FF" w14:textId="752C929C" w:rsidR="008E3CF9" w:rsidRDefault="003E1984" w:rsidP="003E1984">
      <w:pPr>
        <w:tabs>
          <w:tab w:val="left" w:pos="355"/>
        </w:tabs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  <w:lang w:bidi="sk-SK"/>
        </w:rPr>
      </w:pPr>
      <w:r w:rsidRPr="005410E9">
        <w:rPr>
          <w:rFonts w:ascii="Times New Roman" w:hAnsi="Times New Roman" w:cs="Times New Roman"/>
          <w:b/>
          <w:bCs/>
          <w:color w:val="auto"/>
          <w:sz w:val="30"/>
          <w:szCs w:val="30"/>
          <w:lang w:bidi="sk-SK"/>
        </w:rPr>
        <w:t>O</w:t>
      </w:r>
      <w:r w:rsidR="008E3CF9" w:rsidRPr="005410E9">
        <w:rPr>
          <w:rFonts w:ascii="Times New Roman" w:hAnsi="Times New Roman" w:cs="Times New Roman"/>
          <w:b/>
          <w:bCs/>
          <w:color w:val="auto"/>
          <w:sz w:val="30"/>
          <w:szCs w:val="30"/>
          <w:lang w:bidi="sk-SK"/>
        </w:rPr>
        <w:t>právnené výdavky</w:t>
      </w:r>
    </w:p>
    <w:p w14:paraId="3D1492A5" w14:textId="5DA500D7" w:rsidR="00F300B2" w:rsidRPr="00F300B2" w:rsidRDefault="00F300B2" w:rsidP="00F300B2">
      <w:pPr>
        <w:tabs>
          <w:tab w:val="left" w:pos="355"/>
        </w:tabs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bidi="sk-SK"/>
        </w:rPr>
      </w:pPr>
      <w:r w:rsidRPr="00F300B2">
        <w:rPr>
          <w:rFonts w:ascii="Times New Roman" w:hAnsi="Times New Roman" w:cs="Times New Roman"/>
          <w:b/>
          <w:bCs/>
          <w:color w:val="auto"/>
          <w:sz w:val="20"/>
          <w:szCs w:val="20"/>
          <w:lang w:bidi="sk-SK"/>
        </w:rPr>
        <w:t>Výzva 1/2025 Podpora kultúrnych a umeleckých aktivít a mládežníckych</w:t>
      </w:r>
    </w:p>
    <w:p w14:paraId="124B8551" w14:textId="594AA592" w:rsidR="00F300B2" w:rsidRPr="00F300B2" w:rsidRDefault="00F300B2" w:rsidP="00F300B2">
      <w:pPr>
        <w:tabs>
          <w:tab w:val="left" w:pos="355"/>
        </w:tabs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bidi="sk-SK"/>
        </w:rPr>
      </w:pPr>
      <w:r w:rsidRPr="00F300B2">
        <w:rPr>
          <w:rFonts w:ascii="Times New Roman" w:hAnsi="Times New Roman" w:cs="Times New Roman"/>
          <w:b/>
          <w:bCs/>
          <w:color w:val="auto"/>
          <w:sz w:val="20"/>
          <w:szCs w:val="20"/>
          <w:lang w:bidi="sk-SK"/>
        </w:rPr>
        <w:t>organizácií zameraných na občanov Mesta Senec</w:t>
      </w:r>
    </w:p>
    <w:p w14:paraId="7C2ADDF3" w14:textId="77777777" w:rsidR="00F300B2" w:rsidRPr="005410E9" w:rsidRDefault="00F300B2" w:rsidP="003E1984">
      <w:pPr>
        <w:tabs>
          <w:tab w:val="left" w:pos="355"/>
        </w:tabs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  <w:lang w:bidi="sk-SK"/>
        </w:rPr>
      </w:pPr>
    </w:p>
    <w:p w14:paraId="02D0D666" w14:textId="77777777" w:rsidR="00F300B2" w:rsidRDefault="00F300B2" w:rsidP="00F300B2">
      <w:pPr>
        <w:tabs>
          <w:tab w:val="left" w:pos="355"/>
        </w:tabs>
        <w:jc w:val="both"/>
        <w:rPr>
          <w:rFonts w:ascii="Times New Roman" w:hAnsi="Times New Roman" w:cs="Times New Roman"/>
          <w:b/>
          <w:bCs/>
          <w:color w:val="auto"/>
          <w:lang w:bidi="sk-SK"/>
        </w:rPr>
      </w:pPr>
    </w:p>
    <w:p w14:paraId="7E7752CB" w14:textId="67D4D686" w:rsidR="003E1984" w:rsidRPr="00F300B2" w:rsidRDefault="003E1984" w:rsidP="008E3CF9">
      <w:pPr>
        <w:rPr>
          <w:rFonts w:ascii="Times New Roman" w:hAnsi="Times New Roman" w:cs="Times New Roman"/>
        </w:rPr>
      </w:pPr>
      <w:r w:rsidRPr="00F300B2">
        <w:rPr>
          <w:rFonts w:ascii="Times New Roman" w:hAnsi="Times New Roman" w:cs="Times New Roman"/>
        </w:rPr>
        <w:t>Za oprávnené výdavky v zmysle ods. 3 čl. 3 VZN č. 1</w:t>
      </w:r>
      <w:r w:rsidR="00F300B2" w:rsidRPr="00F300B2">
        <w:rPr>
          <w:rFonts w:ascii="Times New Roman" w:hAnsi="Times New Roman" w:cs="Times New Roman"/>
        </w:rPr>
        <w:t>1</w:t>
      </w:r>
      <w:r w:rsidRPr="00F300B2">
        <w:rPr>
          <w:rFonts w:ascii="Times New Roman" w:hAnsi="Times New Roman" w:cs="Times New Roman"/>
        </w:rPr>
        <w:t>/202</w:t>
      </w:r>
      <w:r w:rsidR="00F300B2" w:rsidRPr="00F300B2">
        <w:rPr>
          <w:rFonts w:ascii="Times New Roman" w:hAnsi="Times New Roman" w:cs="Times New Roman"/>
        </w:rPr>
        <w:t>4</w:t>
      </w:r>
      <w:r w:rsidRPr="00F300B2">
        <w:rPr>
          <w:rFonts w:ascii="Times New Roman" w:hAnsi="Times New Roman" w:cs="Times New Roman"/>
        </w:rPr>
        <w:t xml:space="preserve"> sa považujú preukázané výdavky žiadateľov súvisiace s realizáciou projektov: </w:t>
      </w:r>
    </w:p>
    <w:p w14:paraId="7E5D0E39" w14:textId="77777777" w:rsidR="003E1984" w:rsidRPr="00F300B2" w:rsidRDefault="003E1984" w:rsidP="003E1984">
      <w:pPr>
        <w:ind w:left="567" w:hanging="283"/>
        <w:rPr>
          <w:rFonts w:ascii="Times New Roman" w:hAnsi="Times New Roman" w:cs="Times New Roman"/>
        </w:rPr>
      </w:pPr>
      <w:r w:rsidRPr="00F300B2">
        <w:rPr>
          <w:rFonts w:ascii="Times New Roman" w:hAnsi="Times New Roman" w:cs="Times New Roman"/>
        </w:rPr>
        <w:t xml:space="preserve">a) bežné výdavky súvisiace s realizáciou projektu – výdavky na obstaranie materiálov, hnuteľných vecí neinvestičného charakteru a zabezpečenie služieb potrebných pre realizáciu projektu; </w:t>
      </w:r>
    </w:p>
    <w:p w14:paraId="34FEC854" w14:textId="77777777" w:rsidR="003E1984" w:rsidRPr="00F300B2" w:rsidRDefault="003E1984" w:rsidP="003E1984">
      <w:pPr>
        <w:ind w:left="567" w:hanging="283"/>
        <w:rPr>
          <w:rFonts w:ascii="Times New Roman" w:hAnsi="Times New Roman" w:cs="Times New Roman"/>
        </w:rPr>
      </w:pPr>
      <w:r w:rsidRPr="00F300B2">
        <w:rPr>
          <w:rFonts w:ascii="Times New Roman" w:hAnsi="Times New Roman" w:cs="Times New Roman"/>
        </w:rPr>
        <w:t xml:space="preserve">b) na dopravu v priamej súvislosti s realizáciou projektu: </w:t>
      </w:r>
    </w:p>
    <w:p w14:paraId="28E47EA3" w14:textId="4FB7A00A" w:rsidR="003E1984" w:rsidRPr="00F300B2" w:rsidRDefault="003E1984" w:rsidP="003E1984">
      <w:pPr>
        <w:ind w:left="709" w:hanging="142"/>
        <w:rPr>
          <w:rFonts w:ascii="Times New Roman" w:hAnsi="Times New Roman" w:cs="Times New Roman"/>
        </w:rPr>
      </w:pPr>
      <w:r w:rsidRPr="00F300B2">
        <w:rPr>
          <w:rFonts w:ascii="Times New Roman" w:hAnsi="Times New Roman" w:cs="Times New Roman"/>
        </w:rPr>
        <w:t xml:space="preserve">• v prípade použitia súkromného motorového vozidla sa zúčtuje len náhrada výdavkov za pohonné hmoty v zmysle zákon č. 283/2002 </w:t>
      </w:r>
      <w:proofErr w:type="spellStart"/>
      <w:r w:rsidRPr="00F300B2">
        <w:rPr>
          <w:rFonts w:ascii="Times New Roman" w:hAnsi="Times New Roman" w:cs="Times New Roman"/>
        </w:rPr>
        <w:t>Z.z</w:t>
      </w:r>
      <w:proofErr w:type="spellEnd"/>
      <w:r w:rsidRPr="00F300B2">
        <w:rPr>
          <w:rFonts w:ascii="Times New Roman" w:hAnsi="Times New Roman" w:cs="Times New Roman"/>
        </w:rPr>
        <w:t xml:space="preserve">. o cestovných náhradách v znení neskorších predpisov, najviac však do výšky 15 % celkových výdavkov; </w:t>
      </w:r>
    </w:p>
    <w:p w14:paraId="4A6BF37B" w14:textId="77777777" w:rsidR="003E1984" w:rsidRPr="00F300B2" w:rsidRDefault="003E1984" w:rsidP="003E1984">
      <w:pPr>
        <w:ind w:left="709" w:hanging="142"/>
        <w:rPr>
          <w:rFonts w:ascii="Times New Roman" w:hAnsi="Times New Roman" w:cs="Times New Roman"/>
        </w:rPr>
      </w:pPr>
      <w:r w:rsidRPr="00F300B2">
        <w:rPr>
          <w:rFonts w:ascii="Times New Roman" w:hAnsi="Times New Roman" w:cs="Times New Roman"/>
        </w:rPr>
        <w:t xml:space="preserve">• v prípade použitia prostriedku hromadnej dopravy (vlak, autobus, lietadlo) sa zúčtuje cena cestovného lístka, prípadne letenky, </w:t>
      </w:r>
    </w:p>
    <w:p w14:paraId="0015E5B3" w14:textId="2269BF73" w:rsidR="003E1984" w:rsidRPr="00F300B2" w:rsidRDefault="003E1984" w:rsidP="00F300B2">
      <w:pPr>
        <w:ind w:left="709" w:hanging="142"/>
        <w:rPr>
          <w:rFonts w:ascii="Times New Roman" w:hAnsi="Times New Roman" w:cs="Times New Roman"/>
        </w:rPr>
      </w:pPr>
      <w:r w:rsidRPr="00F300B2">
        <w:rPr>
          <w:rFonts w:ascii="Times New Roman" w:hAnsi="Times New Roman" w:cs="Times New Roman"/>
        </w:rPr>
        <w:t xml:space="preserve">• v prípade použitia hromadného dopravného prostriedku na objednávku sa zúčtujú náklady na dopravu. </w:t>
      </w:r>
    </w:p>
    <w:p w14:paraId="6B6B2F80" w14:textId="79C55744" w:rsidR="003E1984" w:rsidRPr="00F300B2" w:rsidRDefault="00F300B2" w:rsidP="003E1984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3E1984" w:rsidRPr="00F300B2">
        <w:rPr>
          <w:rFonts w:ascii="Times New Roman" w:hAnsi="Times New Roman" w:cs="Times New Roman"/>
        </w:rPr>
        <w:t xml:space="preserve">výdavky organizačného a prevádzkového charakteru, prenájmy priestorov, správne a licenčné poplatky, štartovné, vklady do súťaží a pod., vrátane výdavkov na propagáciu a marketing (okrem alkoholu a tabakových výrobkov); </w:t>
      </w:r>
    </w:p>
    <w:p w14:paraId="4636EBC2" w14:textId="1858C6EF" w:rsidR="003E1984" w:rsidRPr="00F300B2" w:rsidRDefault="00F300B2" w:rsidP="003E1984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E1984" w:rsidRPr="00F300B2">
        <w:rPr>
          <w:rFonts w:ascii="Times New Roman" w:hAnsi="Times New Roman" w:cs="Times New Roman"/>
        </w:rPr>
        <w:t xml:space="preserve">) honoráre a príspevky (okrem honorárov pre organizátorov). </w:t>
      </w:r>
    </w:p>
    <w:p w14:paraId="34225466" w14:textId="3DDDC6CB" w:rsidR="008E3CF9" w:rsidRPr="00F300B2" w:rsidRDefault="008E3CF9" w:rsidP="00F300B2">
      <w:pPr>
        <w:ind w:left="567" w:hanging="283"/>
        <w:rPr>
          <w:rFonts w:ascii="Times New Roman" w:hAnsi="Times New Roman" w:cs="Times New Roman"/>
          <w:color w:val="auto"/>
          <w:lang w:bidi="sk-SK"/>
        </w:rPr>
      </w:pPr>
    </w:p>
    <w:p w14:paraId="17899539" w14:textId="37A4F594" w:rsidR="00FA39F6" w:rsidRDefault="00FA39F6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1F218F" w14:textId="77777777" w:rsidR="00FA39F6" w:rsidRDefault="00FA39F6" w:rsidP="00FA39F6">
      <w:pPr>
        <w:tabs>
          <w:tab w:val="left" w:pos="355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sk-SK"/>
        </w:rPr>
      </w:pPr>
      <w:r w:rsidRPr="004E1B91">
        <w:rPr>
          <w:rFonts w:ascii="Times New Roman" w:hAnsi="Times New Roman" w:cs="Times New Roman"/>
          <w:b/>
          <w:bCs/>
          <w:color w:val="auto"/>
          <w:sz w:val="28"/>
          <w:szCs w:val="28"/>
          <w:lang w:bidi="sk-SK"/>
        </w:rPr>
        <w:lastRenderedPageBreak/>
        <w:t>Neoprávnené výdavky</w:t>
      </w:r>
    </w:p>
    <w:p w14:paraId="5E574F0D" w14:textId="77777777" w:rsidR="00FA39F6" w:rsidRDefault="00FA39F6" w:rsidP="00FA39F6">
      <w:pPr>
        <w:tabs>
          <w:tab w:val="left" w:pos="355"/>
        </w:tabs>
        <w:jc w:val="center"/>
        <w:rPr>
          <w:rFonts w:ascii="Times New Roman" w:hAnsi="Times New Roman" w:cs="Times New Roman"/>
          <w:b/>
          <w:bCs/>
          <w:color w:val="auto"/>
          <w:lang w:bidi="sk-SK"/>
        </w:rPr>
      </w:pPr>
      <w:r w:rsidRPr="00F0551F">
        <w:rPr>
          <w:rFonts w:ascii="Times New Roman" w:hAnsi="Times New Roman" w:cs="Times New Roman"/>
          <w:b/>
          <w:bCs/>
          <w:color w:val="auto"/>
          <w:lang w:bidi="sk-SK"/>
        </w:rPr>
        <w:t>Čl. 7 VZN č. 11/2024</w:t>
      </w:r>
    </w:p>
    <w:p w14:paraId="56809956" w14:textId="77777777" w:rsidR="00FA39F6" w:rsidRDefault="00FA39F6" w:rsidP="00FA39F6">
      <w:pPr>
        <w:tabs>
          <w:tab w:val="left" w:pos="355"/>
        </w:tabs>
        <w:jc w:val="center"/>
        <w:rPr>
          <w:rFonts w:ascii="Times New Roman" w:hAnsi="Times New Roman" w:cs="Times New Roman"/>
          <w:b/>
          <w:bCs/>
          <w:color w:val="auto"/>
          <w:lang w:bidi="sk-SK"/>
        </w:rPr>
      </w:pPr>
    </w:p>
    <w:p w14:paraId="1E875C80" w14:textId="77777777" w:rsidR="00FA39F6" w:rsidRPr="00F0551F" w:rsidRDefault="00FA39F6" w:rsidP="00FA39F6">
      <w:pPr>
        <w:pStyle w:val="Odsekzoznamu"/>
        <w:numPr>
          <w:ilvl w:val="0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O všetkých výdavkoch súvisiacich s realizáciou projektu vedie žiadateľ, ktorému bola</w:t>
      </w:r>
    </w:p>
    <w:p w14:paraId="49F44F53" w14:textId="77777777" w:rsidR="00FA39F6" w:rsidRPr="00F0551F" w:rsidRDefault="00FA39F6" w:rsidP="00FA39F6">
      <w:pPr>
        <w:pStyle w:val="Odsekzoznamu"/>
        <w:tabs>
          <w:tab w:val="left" w:pos="355"/>
        </w:tabs>
        <w:ind w:left="644"/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poskytnutá dotácia (ďalej len „prijímateľ dotácie“), dokladovú evidenciu podľa všeobecne</w:t>
      </w:r>
      <w:r>
        <w:rPr>
          <w:rFonts w:ascii="Times New Roman" w:hAnsi="Times New Roman" w:cs="Times New Roman"/>
          <w:color w:val="auto"/>
          <w:lang w:bidi="sk-SK"/>
        </w:rPr>
        <w:t xml:space="preserve"> </w:t>
      </w:r>
      <w:r w:rsidRPr="00F0551F">
        <w:rPr>
          <w:rFonts w:ascii="Times New Roman" w:hAnsi="Times New Roman" w:cs="Times New Roman"/>
          <w:color w:val="auto"/>
          <w:lang w:bidi="sk-SK"/>
        </w:rPr>
        <w:t>záväzných predpisov.</w:t>
      </w:r>
    </w:p>
    <w:p w14:paraId="3C93FF2A" w14:textId="77777777" w:rsidR="00FA39F6" w:rsidRPr="00F0551F" w:rsidRDefault="00FA39F6" w:rsidP="00FA39F6">
      <w:pPr>
        <w:pStyle w:val="Odsekzoznamu"/>
        <w:numPr>
          <w:ilvl w:val="0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Poskytnuté finančné prostriedky je možné použiť na úhradu aj takých nákladov spojených s realizáciou projektu, ktoré prijímateľovi dotácie vznikli ešte pred podpisom zmluvy a priamo súvisia s predkladaným projektom v príslušnom rozpočtovom roku.</w:t>
      </w:r>
    </w:p>
    <w:p w14:paraId="14B0CA33" w14:textId="77777777" w:rsidR="00FA39F6" w:rsidRPr="00F0551F" w:rsidRDefault="00FA39F6" w:rsidP="00FA39F6">
      <w:pPr>
        <w:pStyle w:val="Odsekzoznamu"/>
        <w:numPr>
          <w:ilvl w:val="0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Dotáciu podľa tohto nariadenia nemožno použiť na:</w:t>
      </w:r>
    </w:p>
    <w:p w14:paraId="5D49B522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úhradu stravného, cestovných náhrad zamestnancov</w:t>
      </w:r>
      <w:r>
        <w:rPr>
          <w:rFonts w:ascii="Times New Roman" w:hAnsi="Times New Roman" w:cs="Times New Roman"/>
          <w:color w:val="auto"/>
          <w:vertAlign w:val="superscript"/>
          <w:lang w:bidi="sk-SK"/>
        </w:rPr>
        <w:t>1</w:t>
      </w:r>
      <w:r w:rsidRPr="00F0551F">
        <w:rPr>
          <w:rFonts w:ascii="Times New Roman" w:hAnsi="Times New Roman" w:cs="Times New Roman"/>
          <w:color w:val="auto"/>
          <w:lang w:bidi="sk-SK"/>
        </w:rPr>
        <w:t>,</w:t>
      </w:r>
    </w:p>
    <w:p w14:paraId="6FB6B270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nákup alkoholických a tabakových výrobkov,</w:t>
      </w:r>
    </w:p>
    <w:p w14:paraId="4EE871C4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mzdové výdavky súvisiace s projektom vrátane odvodov, mzdy, platy, odmeny</w:t>
      </w:r>
      <w:r>
        <w:rPr>
          <w:rFonts w:ascii="Times New Roman" w:hAnsi="Times New Roman" w:cs="Times New Roman"/>
          <w:color w:val="auto"/>
          <w:vertAlign w:val="superscript"/>
          <w:lang w:bidi="sk-SK"/>
        </w:rPr>
        <w:t>1</w:t>
      </w:r>
      <w:r w:rsidRPr="00F0551F">
        <w:rPr>
          <w:rFonts w:ascii="Times New Roman" w:hAnsi="Times New Roman" w:cs="Times New Roman"/>
          <w:color w:val="auto"/>
          <w:lang w:bidi="sk-SK"/>
        </w:rPr>
        <w:t>,</w:t>
      </w:r>
    </w:p>
    <w:p w14:paraId="46614871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splácanie úveru, úrokov a jeho príslušenstva,</w:t>
      </w:r>
    </w:p>
    <w:p w14:paraId="1D24E188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refundáciu výdavkov uhradených v predchádzajúcich rozpočtových rokoch,</w:t>
      </w:r>
    </w:p>
    <w:p w14:paraId="2AECE703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úhradu záväzkov z predchádzajúcich rozpočtových rokov,</w:t>
      </w:r>
    </w:p>
    <w:p w14:paraId="5D67384D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nákup vecí nesúvisiacich s projektom resp. s predmetom činnosti príjemcu dotácie,</w:t>
      </w:r>
    </w:p>
    <w:p w14:paraId="5BE7D67C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obstaranie, resp. technické zhodnotenie pozemkov, budov, objektov, strojov, prístrojov,</w:t>
      </w:r>
      <w:r>
        <w:rPr>
          <w:rFonts w:ascii="Times New Roman" w:hAnsi="Times New Roman" w:cs="Times New Roman"/>
          <w:color w:val="auto"/>
          <w:lang w:bidi="sk-SK"/>
        </w:rPr>
        <w:t xml:space="preserve"> </w:t>
      </w:r>
      <w:r w:rsidRPr="00F0551F">
        <w:rPr>
          <w:rFonts w:ascii="Times New Roman" w:hAnsi="Times New Roman" w:cs="Times New Roman"/>
          <w:color w:val="auto"/>
          <w:lang w:bidi="sk-SK"/>
        </w:rPr>
        <w:t>zariadení, dopravných prostriedkov, stavieb, projektových dokumentácií,</w:t>
      </w:r>
    </w:p>
    <w:p w14:paraId="681C3E31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nákup motorových vozidiel a motocyklov,</w:t>
      </w:r>
    </w:p>
    <w:p w14:paraId="1E8AD444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bankové, poštové a manipulačné poplatky, poplatky na telefón,</w:t>
      </w:r>
    </w:p>
    <w:p w14:paraId="4EFDEED9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na kapitálové výdavky,</w:t>
      </w:r>
    </w:p>
    <w:p w14:paraId="7EC0D2DF" w14:textId="77777777" w:rsidR="00FA39F6" w:rsidRPr="00F0551F" w:rsidRDefault="00FA39F6" w:rsidP="00FA39F6">
      <w:pPr>
        <w:pStyle w:val="Odsekzoznamu"/>
        <w:numPr>
          <w:ilvl w:val="1"/>
          <w:numId w:val="4"/>
        </w:numPr>
        <w:tabs>
          <w:tab w:val="left" w:pos="355"/>
        </w:tabs>
        <w:jc w:val="both"/>
        <w:rPr>
          <w:rFonts w:ascii="Times New Roman" w:hAnsi="Times New Roman" w:cs="Times New Roman"/>
          <w:color w:val="auto"/>
          <w:lang w:bidi="sk-SK"/>
        </w:rPr>
      </w:pPr>
      <w:r w:rsidRPr="00F0551F">
        <w:rPr>
          <w:rFonts w:ascii="Times New Roman" w:hAnsi="Times New Roman" w:cs="Times New Roman"/>
          <w:color w:val="auto"/>
          <w:lang w:bidi="sk-SK"/>
        </w:rPr>
        <w:t>úhradu daní a poplatkov (správnych, súdnych, miestnych)</w:t>
      </w:r>
    </w:p>
    <w:p w14:paraId="46669F43" w14:textId="77777777" w:rsidR="00FA39F6" w:rsidRPr="00F0551F" w:rsidRDefault="00FA39F6" w:rsidP="00FA39F6">
      <w:pPr>
        <w:tabs>
          <w:tab w:val="left" w:pos="355"/>
        </w:tabs>
        <w:jc w:val="center"/>
        <w:rPr>
          <w:rFonts w:ascii="Times New Roman" w:hAnsi="Times New Roman" w:cs="Times New Roman"/>
          <w:color w:val="auto"/>
          <w:lang w:bidi="sk-SK"/>
        </w:rPr>
      </w:pPr>
    </w:p>
    <w:p w14:paraId="69F896B1" w14:textId="77777777" w:rsidR="00FA39F6" w:rsidRPr="00D82FF8" w:rsidRDefault="00FA39F6" w:rsidP="00FA39F6">
      <w:pPr>
        <w:pStyle w:val="Odsekzoznamu"/>
        <w:tabs>
          <w:tab w:val="left" w:pos="284"/>
        </w:tabs>
        <w:ind w:left="284"/>
        <w:jc w:val="both"/>
        <w:rPr>
          <w:rFonts w:ascii="Times New Roman" w:hAnsi="Times New Roman" w:cs="Times New Roman"/>
          <w:color w:val="auto"/>
          <w:lang w:bidi="sk-SK"/>
        </w:rPr>
      </w:pPr>
    </w:p>
    <w:p w14:paraId="00B9FDD7" w14:textId="77777777" w:rsidR="00FA39F6" w:rsidRDefault="00FA39F6" w:rsidP="00FA39F6"/>
    <w:p w14:paraId="7A4BC60B" w14:textId="77777777" w:rsidR="00FA39F6" w:rsidRDefault="00FA39F6" w:rsidP="00FA39F6"/>
    <w:p w14:paraId="47F982E4" w14:textId="77777777" w:rsidR="00FA39F6" w:rsidRDefault="00FA39F6" w:rsidP="00FA39F6"/>
    <w:p w14:paraId="4A1F439D" w14:textId="77777777" w:rsidR="00FA39F6" w:rsidRDefault="00FA39F6" w:rsidP="00FA39F6"/>
    <w:p w14:paraId="2C71AF42" w14:textId="77777777" w:rsidR="00FA39F6" w:rsidRDefault="00FA39F6" w:rsidP="00FA39F6"/>
    <w:p w14:paraId="205D4CEC" w14:textId="77777777" w:rsidR="00FA39F6" w:rsidRDefault="00FA39F6" w:rsidP="00FA39F6"/>
    <w:p w14:paraId="365CBA53" w14:textId="77777777" w:rsidR="00FA39F6" w:rsidRDefault="00FA39F6" w:rsidP="00FA39F6"/>
    <w:p w14:paraId="1E64CBA9" w14:textId="77777777" w:rsidR="00FA39F6" w:rsidRDefault="00FA39F6" w:rsidP="00FA39F6"/>
    <w:p w14:paraId="1BE5CD24" w14:textId="77777777" w:rsidR="00FA39F6" w:rsidRDefault="00FA39F6" w:rsidP="00FA39F6"/>
    <w:p w14:paraId="59FBA123" w14:textId="77777777" w:rsidR="00FA39F6" w:rsidRDefault="00FA39F6" w:rsidP="00FA39F6"/>
    <w:p w14:paraId="2561AB5C" w14:textId="77777777" w:rsidR="00FA39F6" w:rsidRDefault="00FA39F6" w:rsidP="00FA39F6"/>
    <w:p w14:paraId="2EF7B4A0" w14:textId="77777777" w:rsidR="00FA39F6" w:rsidRDefault="00FA39F6" w:rsidP="00FA39F6"/>
    <w:p w14:paraId="6FD92D8C" w14:textId="77777777" w:rsidR="00FA39F6" w:rsidRDefault="00FA39F6" w:rsidP="00FA39F6"/>
    <w:p w14:paraId="79B54260" w14:textId="77777777" w:rsidR="00FA39F6" w:rsidRDefault="00FA39F6" w:rsidP="00FA39F6"/>
    <w:p w14:paraId="39C05A15" w14:textId="77777777" w:rsidR="00FA39F6" w:rsidRDefault="00FA39F6" w:rsidP="00FA39F6"/>
    <w:p w14:paraId="234C9F30" w14:textId="77777777" w:rsidR="00FA39F6" w:rsidRDefault="00FA39F6" w:rsidP="00FA39F6"/>
    <w:p w14:paraId="4D83B9D2" w14:textId="77777777" w:rsidR="00FA39F6" w:rsidRDefault="00FA39F6" w:rsidP="00FA39F6"/>
    <w:p w14:paraId="517C8EC5" w14:textId="77777777" w:rsidR="00FA39F6" w:rsidRDefault="00FA39F6" w:rsidP="00FA39F6"/>
    <w:p w14:paraId="327E0178" w14:textId="77777777" w:rsidR="00FA39F6" w:rsidRDefault="00FA39F6" w:rsidP="00FA39F6">
      <w:r>
        <w:t>______</w:t>
      </w:r>
    </w:p>
    <w:p w14:paraId="270B33A2" w14:textId="77777777" w:rsidR="00FA39F6" w:rsidRPr="00F0551F" w:rsidRDefault="00FA39F6" w:rsidP="00FA39F6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 w:rsidRPr="00F0551F">
        <w:rPr>
          <w:rFonts w:ascii="Times New Roman" w:hAnsi="Times New Roman"/>
        </w:rPr>
        <w:t xml:space="preserve">§ 11 zákona č. 311/2001 </w:t>
      </w:r>
      <w:proofErr w:type="spellStart"/>
      <w:r w:rsidRPr="00F0551F">
        <w:rPr>
          <w:rFonts w:ascii="Times New Roman" w:hAnsi="Times New Roman"/>
        </w:rPr>
        <w:t>Z.z</w:t>
      </w:r>
      <w:proofErr w:type="spellEnd"/>
      <w:r w:rsidRPr="00F0551F">
        <w:rPr>
          <w:rFonts w:ascii="Times New Roman" w:hAnsi="Times New Roman"/>
        </w:rPr>
        <w:t>. Zákonník práce v znení neskorších predpisov</w:t>
      </w:r>
    </w:p>
    <w:p w14:paraId="4E6E00BD" w14:textId="77777777" w:rsidR="00782B54" w:rsidRDefault="00782B54">
      <w:pPr>
        <w:rPr>
          <w:rFonts w:ascii="Times New Roman" w:hAnsi="Times New Roman" w:cs="Times New Roman"/>
        </w:rPr>
      </w:pPr>
    </w:p>
    <w:p w14:paraId="1C945D14" w14:textId="77777777" w:rsidR="00FA39F6" w:rsidRPr="00F300B2" w:rsidRDefault="00FA39F6">
      <w:pPr>
        <w:rPr>
          <w:rFonts w:ascii="Times New Roman" w:hAnsi="Times New Roman" w:cs="Times New Roman"/>
        </w:rPr>
      </w:pPr>
    </w:p>
    <w:sectPr w:rsidR="00FA39F6" w:rsidRPr="00F300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6B79" w14:textId="77777777" w:rsidR="00556E64" w:rsidRDefault="00556E64" w:rsidP="008E3CF9">
      <w:r>
        <w:separator/>
      </w:r>
    </w:p>
  </w:endnote>
  <w:endnote w:type="continuationSeparator" w:id="0">
    <w:p w14:paraId="605373A3" w14:textId="77777777" w:rsidR="00556E64" w:rsidRDefault="00556E64" w:rsidP="008E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9099" w14:textId="77777777" w:rsidR="00556E64" w:rsidRDefault="00556E64" w:rsidP="008E3CF9">
      <w:r>
        <w:separator/>
      </w:r>
    </w:p>
  </w:footnote>
  <w:footnote w:type="continuationSeparator" w:id="0">
    <w:p w14:paraId="3BD6CAD6" w14:textId="77777777" w:rsidR="00556E64" w:rsidRDefault="00556E64" w:rsidP="008E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8741" w14:textId="4CE3E2DD" w:rsidR="00CF6D7A" w:rsidRDefault="00CF6D7A" w:rsidP="00CF6D7A">
    <w:pPr>
      <w:pStyle w:val="Hlavika"/>
      <w:jc w:val="both"/>
    </w:pPr>
    <w:r>
      <w:tab/>
    </w:r>
    <w:r>
      <w:tab/>
    </w:r>
    <w:r>
      <w:t xml:space="preserve">Príloha č. </w:t>
    </w:r>
    <w:r w:rsidR="005410E9">
      <w:t>1</w:t>
    </w:r>
  </w:p>
  <w:p w14:paraId="6572B9EC" w14:textId="77777777" w:rsidR="00CF6D7A" w:rsidRDefault="00CF6D7A" w:rsidP="00CF6D7A">
    <w:pPr>
      <w:pStyle w:val="Hlavika"/>
      <w:jc w:val="both"/>
    </w:pPr>
  </w:p>
  <w:p w14:paraId="04820900" w14:textId="77777777" w:rsidR="00CF6D7A" w:rsidRDefault="00CF6D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025"/>
    <w:multiLevelType w:val="hybridMultilevel"/>
    <w:tmpl w:val="6B4CDF4E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3FCD"/>
    <w:multiLevelType w:val="multilevel"/>
    <w:tmpl w:val="FE92DC8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spacing w:val="-3"/>
        <w:w w:val="98"/>
        <w:sz w:val="24"/>
        <w:szCs w:val="24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4C2030E0"/>
    <w:multiLevelType w:val="hybridMultilevel"/>
    <w:tmpl w:val="89E0CB04"/>
    <w:lvl w:ilvl="0" w:tplc="CA943A4E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0E4AEB"/>
    <w:multiLevelType w:val="hybridMultilevel"/>
    <w:tmpl w:val="A3F2E7EA"/>
    <w:lvl w:ilvl="0" w:tplc="F90604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pacing w:val="-3"/>
        <w:w w:val="98"/>
        <w:sz w:val="28"/>
        <w:szCs w:val="23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7430320">
    <w:abstractNumId w:val="2"/>
  </w:num>
  <w:num w:numId="2" w16cid:durableId="1530533074">
    <w:abstractNumId w:val="1"/>
  </w:num>
  <w:num w:numId="3" w16cid:durableId="102962768">
    <w:abstractNumId w:val="0"/>
  </w:num>
  <w:num w:numId="4" w16cid:durableId="30123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F9"/>
    <w:rsid w:val="002A3989"/>
    <w:rsid w:val="003A3177"/>
    <w:rsid w:val="003C79E3"/>
    <w:rsid w:val="003E1984"/>
    <w:rsid w:val="005410E9"/>
    <w:rsid w:val="00556E64"/>
    <w:rsid w:val="005956FA"/>
    <w:rsid w:val="00597F38"/>
    <w:rsid w:val="005A5C1A"/>
    <w:rsid w:val="005B11D8"/>
    <w:rsid w:val="007715B8"/>
    <w:rsid w:val="007748DA"/>
    <w:rsid w:val="00777CF9"/>
    <w:rsid w:val="00782B54"/>
    <w:rsid w:val="008E3CF9"/>
    <w:rsid w:val="00CF6D7A"/>
    <w:rsid w:val="00DA11CF"/>
    <w:rsid w:val="00F300B2"/>
    <w:rsid w:val="00F9527E"/>
    <w:rsid w:val="00F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97B0"/>
  <w15:chartTrackingRefBased/>
  <w15:docId w15:val="{5FAD26B1-2CED-4DA7-A238-1A59F61E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3CF9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3CF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3C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3CF9"/>
    <w:rPr>
      <w:rFonts w:ascii="Microsoft Sans Serif" w:eastAsia="Times New Roman" w:hAnsi="Microsoft Sans Serif" w:cs="Microsoft Sans Serif"/>
      <w:color w:val="000000"/>
      <w:kern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3CF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F6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6D7A"/>
    <w:rPr>
      <w:rFonts w:ascii="Microsoft Sans Serif" w:eastAsia="Times New Roman" w:hAnsi="Microsoft Sans Serif" w:cs="Microsoft Sans Serif"/>
      <w:color w:val="000000"/>
      <w:kern w:val="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6D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6D7A"/>
    <w:rPr>
      <w:rFonts w:ascii="Microsoft Sans Serif" w:eastAsia="Times New Roman" w:hAnsi="Microsoft Sans Serif" w:cs="Microsoft Sans Serif"/>
      <w:color w:val="000000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Danter</dc:creator>
  <cp:keywords/>
  <dc:description/>
  <cp:lastModifiedBy>Maroš Ďurďovič</cp:lastModifiedBy>
  <cp:revision>2</cp:revision>
  <dcterms:created xsi:type="dcterms:W3CDTF">2025-09-10T09:32:00Z</dcterms:created>
  <dcterms:modified xsi:type="dcterms:W3CDTF">2025-09-10T09:32:00Z</dcterms:modified>
</cp:coreProperties>
</file>